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E56F13" w:rsidRDefault="00FE5799" w:rsidP="00FE5799">
      <w:pPr>
        <w:pStyle w:val="Header"/>
        <w:tabs>
          <w:tab w:val="clear" w:pos="4536"/>
        </w:tabs>
        <w:rPr>
          <w:i/>
          <w:lang w:val="sv-SE"/>
        </w:rPr>
      </w:pPr>
      <w:r w:rsidRPr="00E56F13">
        <w:rPr>
          <w:lang w:val="sv-SE"/>
        </w:rPr>
        <w:t>TSG-RAN WG1 #</w:t>
      </w:r>
      <w:r w:rsidR="00DF7DD5" w:rsidRPr="00E56F13">
        <w:rPr>
          <w:lang w:val="sv-SE"/>
        </w:rPr>
        <w:t>86</w:t>
      </w:r>
      <w:r w:rsidRPr="00E56F13">
        <w:rPr>
          <w:lang w:val="sv-SE"/>
        </w:rPr>
        <w:tab/>
        <w:t>R1-</w:t>
      </w:r>
      <w:r w:rsidR="00DF03D2" w:rsidRPr="00E56F13">
        <w:rPr>
          <w:lang w:val="sv-SE"/>
        </w:rPr>
        <w:t>16</w:t>
      </w:r>
      <w:r w:rsidR="00207FCA" w:rsidRPr="00E56F13">
        <w:rPr>
          <w:lang w:val="sv-SE"/>
        </w:rPr>
        <w:t>7451</w:t>
      </w:r>
    </w:p>
    <w:p w:rsidR="00FE5799" w:rsidRPr="00E56F13" w:rsidRDefault="00DF7DD5" w:rsidP="00FE5799">
      <w:pPr>
        <w:pStyle w:val="Header"/>
        <w:rPr>
          <w:color w:val="000000"/>
          <w:lang w:val="sv-SE"/>
        </w:rPr>
      </w:pPr>
      <w:r w:rsidRPr="00E56F13">
        <w:rPr>
          <w:lang w:val="sv-SE"/>
        </w:rPr>
        <w:t>Göteborg</w:t>
      </w:r>
      <w:r w:rsidR="00FE5799" w:rsidRPr="00E56F13">
        <w:rPr>
          <w:lang w:val="sv-SE"/>
        </w:rPr>
        <w:t xml:space="preserve">, </w:t>
      </w:r>
      <w:r w:rsidRPr="00E56F13">
        <w:rPr>
          <w:lang w:val="sv-SE"/>
        </w:rPr>
        <w:t>Sweden</w:t>
      </w:r>
      <w:r w:rsidR="00FE5799" w:rsidRPr="00E56F13">
        <w:rPr>
          <w:lang w:val="sv-SE"/>
        </w:rPr>
        <w:t xml:space="preserve">, </w:t>
      </w:r>
      <w:r w:rsidRPr="00E56F13">
        <w:rPr>
          <w:lang w:val="sv-SE"/>
        </w:rPr>
        <w:t>Aug</w:t>
      </w:r>
      <w:r w:rsidR="00FE5799" w:rsidRPr="00E56F13">
        <w:rPr>
          <w:lang w:val="sv-SE"/>
        </w:rPr>
        <w:t xml:space="preserve"> </w:t>
      </w:r>
      <w:r w:rsidR="00DF03D2" w:rsidRPr="00E56F13">
        <w:rPr>
          <w:lang w:val="sv-SE"/>
        </w:rPr>
        <w:t>2</w:t>
      </w:r>
      <w:r w:rsidRPr="00E56F13">
        <w:rPr>
          <w:lang w:val="sv-SE"/>
        </w:rPr>
        <w:t>2</w:t>
      </w:r>
      <w:r w:rsidR="00FE5799" w:rsidRPr="00E56F13">
        <w:rPr>
          <w:lang w:val="sv-SE"/>
        </w:rPr>
        <w:t xml:space="preserve"> – </w:t>
      </w:r>
      <w:r w:rsidR="00DF03D2" w:rsidRPr="00E56F13">
        <w:rPr>
          <w:lang w:val="sv-SE"/>
        </w:rPr>
        <w:t>2</w:t>
      </w:r>
      <w:r w:rsidRPr="00E56F13">
        <w:rPr>
          <w:lang w:val="sv-SE"/>
        </w:rPr>
        <w:t>6</w:t>
      </w:r>
      <w:r w:rsidR="00FE5799" w:rsidRPr="00E56F13">
        <w:rPr>
          <w:lang w:val="sv-SE"/>
        </w:rPr>
        <w:t>, 2016</w:t>
      </w:r>
    </w:p>
    <w:p w:rsidR="00FE5799" w:rsidRPr="00E56F13" w:rsidRDefault="00FE5799" w:rsidP="00FE5799">
      <w:pPr>
        <w:pStyle w:val="Header"/>
        <w:rPr>
          <w:lang w:val="sv-SE"/>
        </w:rPr>
      </w:pPr>
    </w:p>
    <w:p w:rsidR="00FE5799" w:rsidRPr="00CA3FA5" w:rsidRDefault="00FE5799" w:rsidP="00FE5799">
      <w:pPr>
        <w:pStyle w:val="Header"/>
        <w:tabs>
          <w:tab w:val="clear" w:pos="4536"/>
          <w:tab w:val="left" w:pos="1800"/>
        </w:tabs>
        <w:ind w:left="1800" w:hanging="1800"/>
        <w:rPr>
          <w:lang w:val="en-AU"/>
        </w:rPr>
      </w:pPr>
      <w:r w:rsidRPr="00CA3FA5">
        <w:rPr>
          <w:lang w:val="en-AU"/>
        </w:rPr>
        <w:t>Source:</w:t>
      </w:r>
      <w:r w:rsidRPr="00CA3FA5">
        <w:rPr>
          <w:lang w:val="en-AU"/>
        </w:rPr>
        <w:tab/>
        <w:t>Ericsson</w:t>
      </w:r>
      <w:r w:rsidR="00DF7DD5" w:rsidRPr="00CA3FA5">
        <w:rPr>
          <w:lang w:val="en-AU"/>
        </w:rPr>
        <w:t>, Telstra</w:t>
      </w:r>
    </w:p>
    <w:p w:rsidR="00FE5799" w:rsidRPr="00CA3FA5" w:rsidRDefault="00FE5799" w:rsidP="00FE5799">
      <w:pPr>
        <w:pStyle w:val="Header"/>
        <w:tabs>
          <w:tab w:val="clear" w:pos="4536"/>
          <w:tab w:val="left" w:pos="1800"/>
        </w:tabs>
        <w:rPr>
          <w:lang w:val="en-AU"/>
        </w:rPr>
      </w:pPr>
      <w:r w:rsidRPr="00CA3FA5">
        <w:rPr>
          <w:lang w:val="en-AU"/>
        </w:rPr>
        <w:t>Title:</w:t>
      </w:r>
      <w:bookmarkStart w:id="0" w:name="Title"/>
      <w:bookmarkEnd w:id="0"/>
      <w:r w:rsidRPr="00CA3FA5">
        <w:rPr>
          <w:lang w:val="en-AU"/>
        </w:rPr>
        <w:tab/>
      </w:r>
      <w:r w:rsidR="00CC0A87">
        <w:rPr>
          <w:lang w:val="en-AU"/>
        </w:rPr>
        <w:t>Channel</w:t>
      </w:r>
      <w:r w:rsidR="00DF7DD5" w:rsidRPr="00CA3FA5">
        <w:rPr>
          <w:lang w:val="en-AU"/>
        </w:rPr>
        <w:t xml:space="preserve"> model for extreme rural</w:t>
      </w:r>
      <w:r w:rsidR="00635C7B">
        <w:rPr>
          <w:lang w:val="en-AU"/>
        </w:rPr>
        <w:t xml:space="preserve"> scenario</w:t>
      </w:r>
    </w:p>
    <w:p w:rsidR="00FE5799" w:rsidRPr="00CA3FA5" w:rsidRDefault="00FE5799" w:rsidP="00FE5799">
      <w:pPr>
        <w:pStyle w:val="Header"/>
        <w:tabs>
          <w:tab w:val="left" w:pos="1800"/>
        </w:tabs>
        <w:rPr>
          <w:lang w:val="en-AU"/>
        </w:rPr>
      </w:pPr>
      <w:r w:rsidRPr="00CA3FA5">
        <w:rPr>
          <w:lang w:val="en-AU"/>
        </w:rPr>
        <w:t>Agenda Item:</w:t>
      </w:r>
      <w:bookmarkStart w:id="1" w:name="Source"/>
      <w:bookmarkEnd w:id="1"/>
      <w:r w:rsidRPr="00CA3FA5">
        <w:rPr>
          <w:lang w:val="en-AU"/>
        </w:rPr>
        <w:tab/>
      </w:r>
      <w:r w:rsidR="00835DE6">
        <w:rPr>
          <w:lang w:val="en-AU"/>
        </w:rPr>
        <w:t>8.1.7</w:t>
      </w:r>
    </w:p>
    <w:p w:rsidR="00FE5799" w:rsidRPr="00CA3FA5" w:rsidRDefault="00FE5799" w:rsidP="00FE5799">
      <w:pPr>
        <w:pStyle w:val="Header"/>
        <w:tabs>
          <w:tab w:val="left" w:pos="1800"/>
        </w:tabs>
        <w:rPr>
          <w:lang w:val="en-AU"/>
        </w:rPr>
      </w:pPr>
      <w:r w:rsidRPr="00CA3FA5">
        <w:rPr>
          <w:lang w:val="en-AU"/>
        </w:rPr>
        <w:t>Document for:</w:t>
      </w:r>
      <w:r w:rsidRPr="00CA3FA5">
        <w:rPr>
          <w:lang w:val="en-AU"/>
        </w:rPr>
        <w:tab/>
      </w:r>
      <w:bookmarkStart w:id="2" w:name="DocumentFor"/>
      <w:bookmarkEnd w:id="2"/>
      <w:r w:rsidRPr="00CA3FA5">
        <w:rPr>
          <w:lang w:val="en-AU"/>
        </w:rPr>
        <w:t>Discussion and Decision</w:t>
      </w:r>
    </w:p>
    <w:p w:rsidR="00FE5799" w:rsidRPr="00CA3FA5" w:rsidRDefault="00FE5799" w:rsidP="00FE5799">
      <w:pPr>
        <w:pBdr>
          <w:bottom w:val="single" w:sz="4" w:space="1" w:color="auto"/>
        </w:pBdr>
        <w:tabs>
          <w:tab w:val="left" w:pos="2552"/>
        </w:tabs>
        <w:rPr>
          <w:lang w:val="en-AU"/>
        </w:rPr>
      </w:pPr>
    </w:p>
    <w:p w:rsidR="004A3F44" w:rsidRPr="00CA3FA5" w:rsidRDefault="001639B5" w:rsidP="004A3F44">
      <w:pPr>
        <w:pStyle w:val="Heading1"/>
        <w:rPr>
          <w:lang w:val="en-AU"/>
        </w:rPr>
      </w:pPr>
      <w:r w:rsidRPr="00CA3FA5">
        <w:rPr>
          <w:lang w:val="en-AU"/>
        </w:rPr>
        <w:t>Introduction</w:t>
      </w:r>
    </w:p>
    <w:p w:rsidR="00240524" w:rsidRDefault="00240524" w:rsidP="00240524">
      <w:pPr>
        <w:pStyle w:val="BodyText"/>
        <w:rPr>
          <w:i/>
          <w:lang w:val="en-AU"/>
        </w:rPr>
      </w:pPr>
      <w:r w:rsidRPr="00240524">
        <w:rPr>
          <w:lang w:val="en-AU"/>
        </w:rPr>
        <w:t xml:space="preserve">TR 38.913 on </w:t>
      </w:r>
      <w:r w:rsidRPr="00240524">
        <w:t>"Scen</w:t>
      </w:r>
      <w:r>
        <w:t xml:space="preserve">arios and Requirements for Next Generation Access Technologies" defined several deployment scenarios and evaluations assumptions for the three families of usage scenarios, namely, </w:t>
      </w:r>
      <w:proofErr w:type="spellStart"/>
      <w:r>
        <w:t>eMBB</w:t>
      </w:r>
      <w:proofErr w:type="spellEnd"/>
      <w:r>
        <w:t xml:space="preserve">, </w:t>
      </w:r>
      <w:proofErr w:type="spellStart"/>
      <w:r>
        <w:t>mMTC</w:t>
      </w:r>
      <w:proofErr w:type="spellEnd"/>
      <w:r>
        <w:t xml:space="preserve"> and URLLC. This contribution refers to the deployment scenario 6.1.7 and listed attributes therein. Specifically it aims to provide a simple channel model for evaluating coverage and throughput performance. A companion paper </w:t>
      </w:r>
      <w:r>
        <w:fldChar w:fldCharType="begin"/>
      </w:r>
      <w:r>
        <w:instrText xml:space="preserve"> REF _Ref458694929 \r \h </w:instrText>
      </w:r>
      <w:r>
        <w:fldChar w:fldCharType="separate"/>
      </w:r>
      <w:r>
        <w:t>[2]</w:t>
      </w:r>
      <w:r>
        <w:fldChar w:fldCharType="end"/>
      </w:r>
      <w:r>
        <w:t xml:space="preserve"> addresses the path loss model. </w:t>
      </w:r>
    </w:p>
    <w:p w:rsidR="006175B6" w:rsidRPr="00944906" w:rsidRDefault="006175B6" w:rsidP="006175B6">
      <w:pPr>
        <w:pStyle w:val="Heading1"/>
        <w:rPr>
          <w:lang w:val="en-AU"/>
        </w:rPr>
      </w:pPr>
      <w:r w:rsidRPr="00944906">
        <w:rPr>
          <w:lang w:val="en-AU"/>
        </w:rPr>
        <w:t xml:space="preserve">Channel </w:t>
      </w:r>
      <w:r w:rsidR="00CA3FA5" w:rsidRPr="00944906">
        <w:rPr>
          <w:lang w:val="en-AU"/>
        </w:rPr>
        <w:t>modelling</w:t>
      </w:r>
      <w:r w:rsidRPr="00944906">
        <w:rPr>
          <w:lang w:val="en-AU"/>
        </w:rPr>
        <w:t xml:space="preserve"> for extreme ranges</w:t>
      </w:r>
    </w:p>
    <w:p w:rsidR="00240524" w:rsidRDefault="00240524" w:rsidP="00F307F4">
      <w:pPr>
        <w:pStyle w:val="BodyText"/>
        <w:rPr>
          <w:lang w:val="en-AU"/>
        </w:rPr>
      </w:pPr>
      <w:r>
        <w:rPr>
          <w:lang w:val="en-AU"/>
        </w:rPr>
        <w:t xml:space="preserve">The radio channel in rural scenarios has been well studied </w:t>
      </w:r>
      <w:r w:rsidR="0037761D">
        <w:rPr>
          <w:lang w:val="en-AU"/>
        </w:rPr>
        <w:t xml:space="preserve">through measurements </w:t>
      </w:r>
      <w:r>
        <w:rPr>
          <w:lang w:val="en-AU"/>
        </w:rPr>
        <w:t xml:space="preserve">and captured in channel models such as the IMT-Advanced channel model </w:t>
      </w:r>
      <w:r>
        <w:rPr>
          <w:lang w:val="en-AU"/>
        </w:rPr>
        <w:fldChar w:fldCharType="begin"/>
      </w:r>
      <w:r>
        <w:rPr>
          <w:lang w:val="en-AU"/>
        </w:rPr>
        <w:instrText xml:space="preserve"> REF _Ref458695108 \r \h </w:instrText>
      </w:r>
      <w:r>
        <w:rPr>
          <w:lang w:val="en-AU"/>
        </w:rPr>
      </w:r>
      <w:r>
        <w:rPr>
          <w:lang w:val="en-AU"/>
        </w:rPr>
        <w:fldChar w:fldCharType="separate"/>
      </w:r>
      <w:r>
        <w:rPr>
          <w:lang w:val="en-AU"/>
        </w:rPr>
        <w:t>[3]</w:t>
      </w:r>
      <w:r>
        <w:rPr>
          <w:lang w:val="en-AU"/>
        </w:rPr>
        <w:fldChar w:fldCharType="end"/>
      </w:r>
      <w:r w:rsidR="0037761D">
        <w:rPr>
          <w:lang w:val="en-AU"/>
        </w:rPr>
        <w:t xml:space="preserve"> or the channel model in 3GPP TR 38.900 </w:t>
      </w:r>
      <w:r w:rsidR="0037761D">
        <w:rPr>
          <w:lang w:val="en-AU"/>
        </w:rPr>
        <w:fldChar w:fldCharType="begin"/>
      </w:r>
      <w:r w:rsidR="0037761D">
        <w:rPr>
          <w:lang w:val="en-AU"/>
        </w:rPr>
        <w:instrText xml:space="preserve"> REF _Ref458695259 \r \h </w:instrText>
      </w:r>
      <w:r w:rsidR="0037761D">
        <w:rPr>
          <w:lang w:val="en-AU"/>
        </w:rPr>
      </w:r>
      <w:r w:rsidR="0037761D">
        <w:rPr>
          <w:lang w:val="en-AU"/>
        </w:rPr>
        <w:fldChar w:fldCharType="separate"/>
      </w:r>
      <w:r w:rsidR="0037761D">
        <w:rPr>
          <w:lang w:val="en-AU"/>
        </w:rPr>
        <w:t>[4]</w:t>
      </w:r>
      <w:r w:rsidR="0037761D">
        <w:rPr>
          <w:lang w:val="en-AU"/>
        </w:rPr>
        <w:fldChar w:fldCharType="end"/>
      </w:r>
      <w:r>
        <w:rPr>
          <w:lang w:val="en-AU"/>
        </w:rPr>
        <w:t xml:space="preserve">. </w:t>
      </w:r>
      <w:r w:rsidR="0037761D">
        <w:rPr>
          <w:lang w:val="en-AU"/>
        </w:rPr>
        <w:t xml:space="preserve">However the measurements behind these models have not been done at extreme ranges. To increase the confidence of channel modelling for extreme ranges a set of new measurements for remote rural sites were performed and reported in </w:t>
      </w:r>
      <w:r w:rsidR="0037761D">
        <w:rPr>
          <w:lang w:val="en-AU"/>
        </w:rPr>
        <w:fldChar w:fldCharType="begin"/>
      </w:r>
      <w:r w:rsidR="0037761D">
        <w:rPr>
          <w:lang w:val="en-AU"/>
        </w:rPr>
        <w:instrText xml:space="preserve"> REF _Ref454287040 \r \h </w:instrText>
      </w:r>
      <w:r w:rsidR="0037761D">
        <w:rPr>
          <w:lang w:val="en-AU"/>
        </w:rPr>
      </w:r>
      <w:r w:rsidR="0037761D">
        <w:rPr>
          <w:lang w:val="en-AU"/>
        </w:rPr>
        <w:fldChar w:fldCharType="separate"/>
      </w:r>
      <w:r w:rsidR="0037761D">
        <w:rPr>
          <w:lang w:val="en-AU"/>
        </w:rPr>
        <w:t>[1]</w:t>
      </w:r>
      <w:r w:rsidR="0037761D">
        <w:rPr>
          <w:lang w:val="en-AU"/>
        </w:rPr>
        <w:fldChar w:fldCharType="end"/>
      </w:r>
      <w:r w:rsidR="0037761D">
        <w:rPr>
          <w:lang w:val="en-AU"/>
        </w:rPr>
        <w:t xml:space="preserve">. These measurements addressed the path loss and </w:t>
      </w:r>
      <w:proofErr w:type="spellStart"/>
      <w:r w:rsidR="0037761D">
        <w:rPr>
          <w:lang w:val="en-AU"/>
        </w:rPr>
        <w:t>rms</w:t>
      </w:r>
      <w:proofErr w:type="spellEnd"/>
      <w:r w:rsidR="0037761D">
        <w:rPr>
          <w:lang w:val="en-AU"/>
        </w:rPr>
        <w:t xml:space="preserve"> delay spread. </w:t>
      </w:r>
    </w:p>
    <w:p w:rsidR="0037761D" w:rsidRDefault="0037761D" w:rsidP="00F307F4">
      <w:pPr>
        <w:pStyle w:val="BodyText"/>
        <w:rPr>
          <w:lang w:val="en-AU"/>
        </w:rPr>
      </w:pPr>
      <w:r>
        <w:rPr>
          <w:lang w:val="en-AU"/>
        </w:rPr>
        <w:t xml:space="preserve">One of the learnings from </w:t>
      </w:r>
      <w:r>
        <w:rPr>
          <w:lang w:val="en-AU"/>
        </w:rPr>
        <w:fldChar w:fldCharType="begin"/>
      </w:r>
      <w:r>
        <w:rPr>
          <w:lang w:val="en-AU"/>
        </w:rPr>
        <w:instrText xml:space="preserve"> REF _Ref454287040 \r \h </w:instrText>
      </w:r>
      <w:r>
        <w:rPr>
          <w:lang w:val="en-AU"/>
        </w:rPr>
      </w:r>
      <w:r>
        <w:rPr>
          <w:lang w:val="en-AU"/>
        </w:rPr>
        <w:fldChar w:fldCharType="separate"/>
      </w:r>
      <w:r>
        <w:rPr>
          <w:lang w:val="en-AU"/>
        </w:rPr>
        <w:t>[1]</w:t>
      </w:r>
      <w:r>
        <w:rPr>
          <w:lang w:val="en-AU"/>
        </w:rPr>
        <w:fldChar w:fldCharType="end"/>
      </w:r>
      <w:r>
        <w:rPr>
          <w:lang w:val="en-AU"/>
        </w:rPr>
        <w:t xml:space="preserve"> is that the </w:t>
      </w:r>
      <w:proofErr w:type="spellStart"/>
      <w:r>
        <w:rPr>
          <w:lang w:val="en-AU"/>
        </w:rPr>
        <w:t>rms</w:t>
      </w:r>
      <w:proofErr w:type="spellEnd"/>
      <w:r>
        <w:rPr>
          <w:lang w:val="en-AU"/>
        </w:rPr>
        <w:t xml:space="preserve"> delay spread does not seem to change as a function of propagation </w:t>
      </w:r>
      <w:proofErr w:type="gramStart"/>
      <w:r>
        <w:rPr>
          <w:lang w:val="en-AU"/>
        </w:rPr>
        <w:t>distance,</w:t>
      </w:r>
      <w:proofErr w:type="gramEnd"/>
      <w:r>
        <w:rPr>
          <w:lang w:val="en-AU"/>
        </w:rPr>
        <w:t xml:space="preserve"> rather an average delay spread of around 100 ns was found for the full distance range. This gives some confidence in extrapolating the channel behaviour experienced at shorter ranges to long distance. </w:t>
      </w:r>
    </w:p>
    <w:p w:rsidR="0037761D" w:rsidRDefault="0037761D" w:rsidP="00F307F4">
      <w:pPr>
        <w:pStyle w:val="BodyText"/>
        <w:rPr>
          <w:lang w:val="en-AU"/>
        </w:rPr>
      </w:pPr>
      <w:r>
        <w:rPr>
          <w:lang w:val="en-AU"/>
        </w:rPr>
        <w:t xml:space="preserve">To support link level simulations and simpler single- and multi-cell system simulations, </w:t>
      </w:r>
      <w:r w:rsidR="00207FCA">
        <w:rPr>
          <w:lang w:val="en-AU"/>
        </w:rPr>
        <w:t xml:space="preserve">it would be beneficial to combine the path loss model proposal in </w:t>
      </w:r>
      <w:r w:rsidR="00207FCA">
        <w:rPr>
          <w:lang w:val="en-AU"/>
        </w:rPr>
        <w:fldChar w:fldCharType="begin"/>
      </w:r>
      <w:r w:rsidR="00207FCA">
        <w:rPr>
          <w:lang w:val="en-AU"/>
        </w:rPr>
        <w:instrText xml:space="preserve"> REF _Ref458694929 \r \h </w:instrText>
      </w:r>
      <w:r w:rsidR="00207FCA">
        <w:rPr>
          <w:lang w:val="en-AU"/>
        </w:rPr>
      </w:r>
      <w:r w:rsidR="00207FCA">
        <w:rPr>
          <w:lang w:val="en-AU"/>
        </w:rPr>
        <w:fldChar w:fldCharType="separate"/>
      </w:r>
      <w:r w:rsidR="00207FCA">
        <w:rPr>
          <w:lang w:val="en-AU"/>
        </w:rPr>
        <w:t>[2]</w:t>
      </w:r>
      <w:r w:rsidR="00207FCA">
        <w:rPr>
          <w:lang w:val="en-AU"/>
        </w:rPr>
        <w:fldChar w:fldCharType="end"/>
      </w:r>
      <w:r w:rsidR="00207FCA">
        <w:rPr>
          <w:lang w:val="en-AU"/>
        </w:rPr>
        <w:t xml:space="preserve"> with a low complexity channel model such as the TDLs or CDLs specified in </w:t>
      </w:r>
      <w:r w:rsidR="00207FCA">
        <w:rPr>
          <w:lang w:val="en-AU"/>
        </w:rPr>
        <w:fldChar w:fldCharType="begin"/>
      </w:r>
      <w:r w:rsidR="00207FCA">
        <w:rPr>
          <w:lang w:val="en-AU"/>
        </w:rPr>
        <w:instrText xml:space="preserve"> REF _Ref458695259 \r \h </w:instrText>
      </w:r>
      <w:r w:rsidR="00207FCA">
        <w:rPr>
          <w:lang w:val="en-AU"/>
        </w:rPr>
      </w:r>
      <w:r w:rsidR="00207FCA">
        <w:rPr>
          <w:lang w:val="en-AU"/>
        </w:rPr>
        <w:fldChar w:fldCharType="separate"/>
      </w:r>
      <w:r w:rsidR="00207FCA">
        <w:rPr>
          <w:lang w:val="en-AU"/>
        </w:rPr>
        <w:t>[4]</w:t>
      </w:r>
      <w:r w:rsidR="00207FCA">
        <w:rPr>
          <w:lang w:val="en-AU"/>
        </w:rPr>
        <w:fldChar w:fldCharType="end"/>
      </w:r>
      <w:r w:rsidR="00207FCA">
        <w:rPr>
          <w:lang w:val="en-AU"/>
        </w:rPr>
        <w:t xml:space="preserve">. The TDL/CDLs can be adjusted to the measurement data through the delay and angular scaling procedure defined in </w:t>
      </w:r>
      <w:r w:rsidR="00207FCA">
        <w:rPr>
          <w:lang w:val="en-AU"/>
        </w:rPr>
        <w:fldChar w:fldCharType="begin"/>
      </w:r>
      <w:r w:rsidR="00207FCA">
        <w:rPr>
          <w:lang w:val="en-AU"/>
        </w:rPr>
        <w:instrText xml:space="preserve"> REF _Ref458695259 \r \h </w:instrText>
      </w:r>
      <w:r w:rsidR="00207FCA">
        <w:rPr>
          <w:lang w:val="en-AU"/>
        </w:rPr>
      </w:r>
      <w:r w:rsidR="00207FCA">
        <w:rPr>
          <w:lang w:val="en-AU"/>
        </w:rPr>
        <w:fldChar w:fldCharType="separate"/>
      </w:r>
      <w:r w:rsidR="00207FCA">
        <w:rPr>
          <w:lang w:val="en-AU"/>
        </w:rPr>
        <w:t>[4]</w:t>
      </w:r>
      <w:r w:rsidR="00207FCA">
        <w:rPr>
          <w:lang w:val="en-AU"/>
        </w:rPr>
        <w:fldChar w:fldCharType="end"/>
      </w:r>
      <w:r w:rsidR="00207FCA">
        <w:rPr>
          <w:lang w:val="en-AU"/>
        </w:rPr>
        <w:t xml:space="preserve">. It is reasonable to use a 100 ns delay scaling as this was observed in the measurements. No angular spread measurements are available at extreme ranges but it seems likely that the angular spreads will be quite small in such a scenario due to the long range and high effective antenna height in combination. Therefore, the following is proposed: </w:t>
      </w:r>
    </w:p>
    <w:p w:rsidR="00D539B8" w:rsidRPr="00944906" w:rsidRDefault="001639B5" w:rsidP="00A55C73">
      <w:pPr>
        <w:pStyle w:val="BodyText"/>
        <w:rPr>
          <w:b/>
          <w:lang w:val="en-AU"/>
        </w:rPr>
      </w:pPr>
      <w:r w:rsidRPr="00944906">
        <w:rPr>
          <w:b/>
          <w:lang w:val="en-AU"/>
        </w:rPr>
        <w:t>Proposal</w:t>
      </w:r>
      <w:r w:rsidR="00C02DC7" w:rsidRPr="00944906">
        <w:rPr>
          <w:b/>
          <w:lang w:val="en-AU"/>
        </w:rPr>
        <w:t xml:space="preserve"> </w:t>
      </w:r>
      <w:r w:rsidR="00240524">
        <w:rPr>
          <w:b/>
          <w:lang w:val="en-AU"/>
        </w:rPr>
        <w:t>1</w:t>
      </w:r>
      <w:r w:rsidRPr="00944906">
        <w:rPr>
          <w:b/>
          <w:lang w:val="en-AU"/>
        </w:rPr>
        <w:t xml:space="preserve">: </w:t>
      </w:r>
      <w:r w:rsidR="00C02DC7" w:rsidRPr="00944906">
        <w:rPr>
          <w:b/>
          <w:lang w:val="en-AU"/>
        </w:rPr>
        <w:t xml:space="preserve">For link level </w:t>
      </w:r>
      <w:r w:rsidR="00CA3FA5" w:rsidRPr="00944906">
        <w:rPr>
          <w:b/>
          <w:lang w:val="en-AU"/>
        </w:rPr>
        <w:t>modelling</w:t>
      </w:r>
      <w:r w:rsidR="00C02DC7" w:rsidRPr="00944906">
        <w:rPr>
          <w:b/>
          <w:lang w:val="en-AU"/>
        </w:rPr>
        <w:t xml:space="preserve"> and simple system-level </w:t>
      </w:r>
      <w:r w:rsidR="00CA3FA5" w:rsidRPr="00944906">
        <w:rPr>
          <w:b/>
          <w:lang w:val="en-AU"/>
        </w:rPr>
        <w:t>modelling</w:t>
      </w:r>
      <w:r w:rsidR="00C02DC7" w:rsidRPr="00944906">
        <w:rPr>
          <w:b/>
          <w:lang w:val="en-AU"/>
        </w:rPr>
        <w:t>, use TDL-A and CDL-A with the following delay and angle scaling:</w:t>
      </w:r>
    </w:p>
    <w:p w:rsidR="005D2E19" w:rsidRPr="00944906" w:rsidRDefault="005D2E19" w:rsidP="00C02DC7">
      <w:pPr>
        <w:pStyle w:val="BodyText"/>
        <w:numPr>
          <w:ilvl w:val="0"/>
          <w:numId w:val="10"/>
        </w:numPr>
        <w:rPr>
          <w:b/>
          <w:lang w:val="en-AU"/>
        </w:rPr>
      </w:pPr>
      <w:r w:rsidRPr="00944906">
        <w:rPr>
          <w:b/>
          <w:lang w:val="en-AU"/>
        </w:rPr>
        <w:t>DS = [</w:t>
      </w:r>
      <w:r w:rsidR="00207FCA">
        <w:rPr>
          <w:b/>
          <w:lang w:val="en-AU"/>
        </w:rPr>
        <w:t>10</w:t>
      </w:r>
      <w:r w:rsidRPr="00944906">
        <w:rPr>
          <w:b/>
          <w:lang w:val="en-AU"/>
        </w:rPr>
        <w:t>0 ns]</w:t>
      </w:r>
    </w:p>
    <w:p w:rsidR="00C02DC7" w:rsidRPr="00944906" w:rsidRDefault="00C02DC7" w:rsidP="00C02DC7">
      <w:pPr>
        <w:pStyle w:val="BodyText"/>
        <w:numPr>
          <w:ilvl w:val="0"/>
          <w:numId w:val="10"/>
        </w:numPr>
        <w:rPr>
          <w:b/>
          <w:lang w:val="en-AU"/>
        </w:rPr>
      </w:pPr>
      <w:r w:rsidRPr="00944906">
        <w:rPr>
          <w:b/>
          <w:lang w:val="en-AU"/>
        </w:rPr>
        <w:t>ASD = [1°]</w:t>
      </w:r>
    </w:p>
    <w:p w:rsidR="00C02DC7" w:rsidRPr="00944906" w:rsidRDefault="00C02DC7" w:rsidP="00C02DC7">
      <w:pPr>
        <w:pStyle w:val="BodyText"/>
        <w:numPr>
          <w:ilvl w:val="0"/>
          <w:numId w:val="10"/>
        </w:numPr>
        <w:rPr>
          <w:b/>
          <w:lang w:val="en-AU"/>
        </w:rPr>
      </w:pPr>
      <w:r w:rsidRPr="00944906">
        <w:rPr>
          <w:b/>
          <w:lang w:val="en-AU"/>
        </w:rPr>
        <w:t>ASA = [30°]</w:t>
      </w:r>
    </w:p>
    <w:p w:rsidR="00C02DC7" w:rsidRPr="00944906" w:rsidRDefault="00C02DC7" w:rsidP="00C02DC7">
      <w:pPr>
        <w:pStyle w:val="BodyText"/>
        <w:numPr>
          <w:ilvl w:val="0"/>
          <w:numId w:val="10"/>
        </w:numPr>
        <w:rPr>
          <w:b/>
          <w:lang w:val="en-AU"/>
        </w:rPr>
      </w:pPr>
      <w:r w:rsidRPr="00944906">
        <w:rPr>
          <w:b/>
          <w:lang w:val="en-AU"/>
        </w:rPr>
        <w:t>ZSD = [0.1°]</w:t>
      </w:r>
    </w:p>
    <w:p w:rsidR="00C02DC7" w:rsidRPr="00944906" w:rsidRDefault="00C02DC7" w:rsidP="00C02DC7">
      <w:pPr>
        <w:pStyle w:val="BodyText"/>
        <w:numPr>
          <w:ilvl w:val="0"/>
          <w:numId w:val="10"/>
        </w:numPr>
        <w:rPr>
          <w:b/>
          <w:lang w:val="en-AU"/>
        </w:rPr>
      </w:pPr>
      <w:r w:rsidRPr="00944906">
        <w:rPr>
          <w:b/>
          <w:lang w:val="en-AU"/>
        </w:rPr>
        <w:t>ZSA = [1°]</w:t>
      </w:r>
    </w:p>
    <w:p w:rsidR="005D2E19" w:rsidRPr="00944906" w:rsidRDefault="005D2E19" w:rsidP="00C02DC7">
      <w:pPr>
        <w:pStyle w:val="BodyText"/>
        <w:numPr>
          <w:ilvl w:val="0"/>
          <w:numId w:val="10"/>
        </w:numPr>
        <w:rPr>
          <w:b/>
          <w:lang w:val="en-AU"/>
        </w:rPr>
      </w:pPr>
      <w:r w:rsidRPr="00944906">
        <w:rPr>
          <w:b/>
          <w:lang w:val="en-AU"/>
        </w:rPr>
        <w:t xml:space="preserve">The absolute propagation delay </w:t>
      </w:r>
      <m:oMath>
        <m:sSub>
          <m:sSubPr>
            <m:ctrlPr>
              <w:rPr>
                <w:rFonts w:ascii="Cambria Math" w:hAnsi="Cambria Math"/>
                <w:b/>
                <w:i/>
                <w:lang w:val="en-AU"/>
              </w:rPr>
            </m:ctrlPr>
          </m:sSubPr>
          <m:e>
            <m:r>
              <m:rPr>
                <m:sty m:val="bi"/>
              </m:rPr>
              <w:rPr>
                <w:rFonts w:ascii="Cambria Math" w:hAnsi="Cambria Math"/>
                <w:lang w:val="en-AU"/>
              </w:rPr>
              <m:t>τ</m:t>
            </m:r>
          </m:e>
          <m:sub>
            <m:r>
              <m:rPr>
                <m:sty m:val="bi"/>
              </m:rPr>
              <w:rPr>
                <w:rFonts w:ascii="Cambria Math" w:hAnsi="Cambria Math"/>
                <w:lang w:val="en-AU"/>
              </w:rPr>
              <m:t>0</m:t>
            </m:r>
          </m:sub>
        </m:sSub>
        <m:r>
          <m:rPr>
            <m:sty m:val="bi"/>
          </m:rPr>
          <w:rPr>
            <w:rFonts w:ascii="Cambria Math" w:hAnsi="Cambria Math"/>
            <w:lang w:val="en-AU"/>
          </w:rPr>
          <m:t>=</m:t>
        </m:r>
        <m:sSub>
          <m:sSubPr>
            <m:ctrlPr>
              <w:rPr>
                <w:rFonts w:ascii="Cambria Math" w:hAnsi="Cambria Math"/>
                <w:b/>
                <w:i/>
                <w:lang w:val="en-AU"/>
              </w:rPr>
            </m:ctrlPr>
          </m:sSubPr>
          <m:e>
            <m:r>
              <m:rPr>
                <m:sty m:val="bi"/>
              </m:rPr>
              <w:rPr>
                <w:rFonts w:ascii="Cambria Math" w:hAnsi="Cambria Math"/>
                <w:lang w:val="en-AU"/>
              </w:rPr>
              <m:t>c</m:t>
            </m:r>
          </m:e>
          <m:sub>
            <m:r>
              <m:rPr>
                <m:sty m:val="bi"/>
              </m:rPr>
              <w:rPr>
                <w:rFonts w:ascii="Cambria Math" w:hAnsi="Cambria Math"/>
                <w:lang w:val="en-AU"/>
              </w:rPr>
              <m:t>0</m:t>
            </m:r>
          </m:sub>
        </m:sSub>
        <m:r>
          <m:rPr>
            <m:sty m:val="bi"/>
          </m:rPr>
          <w:rPr>
            <w:rFonts w:ascii="Cambria Math" w:hAnsi="Cambria Math"/>
            <w:lang w:val="en-AU"/>
          </w:rPr>
          <m:t>d</m:t>
        </m:r>
      </m:oMath>
      <w:r w:rsidRPr="00944906">
        <w:rPr>
          <w:b/>
          <w:lang w:val="en-AU"/>
        </w:rPr>
        <w:t xml:space="preserve"> is added to all tap delays</w:t>
      </w:r>
    </w:p>
    <w:p w:rsidR="005D2E19" w:rsidRPr="00944906" w:rsidRDefault="005D2E19" w:rsidP="005D2E19">
      <w:pPr>
        <w:pStyle w:val="BodyText"/>
        <w:numPr>
          <w:ilvl w:val="0"/>
          <w:numId w:val="10"/>
        </w:numPr>
        <w:rPr>
          <w:b/>
          <w:lang w:val="en-AU"/>
        </w:rPr>
      </w:pPr>
      <w:r w:rsidRPr="00944906">
        <w:rPr>
          <w:b/>
          <w:lang w:val="en-AU"/>
        </w:rPr>
        <w:t xml:space="preserve">For system-level simulations, </w:t>
      </w:r>
      <w:r w:rsidR="001268B9">
        <w:rPr>
          <w:b/>
          <w:lang w:val="en-AU"/>
        </w:rPr>
        <w:t xml:space="preserve">the </w:t>
      </w:r>
      <w:r w:rsidRPr="00944906">
        <w:rPr>
          <w:b/>
          <w:lang w:val="en-AU"/>
        </w:rPr>
        <w:t xml:space="preserve">mean AOD,ZOD,AOA,ZOD </w:t>
      </w:r>
      <w:r w:rsidR="001268B9">
        <w:rPr>
          <w:b/>
          <w:lang w:val="en-AU"/>
        </w:rPr>
        <w:t xml:space="preserve">for each link </w:t>
      </w:r>
      <w:r w:rsidRPr="00944906">
        <w:rPr>
          <w:b/>
          <w:lang w:val="en-AU"/>
        </w:rPr>
        <w:t>are determined from the geometry</w:t>
      </w:r>
      <w:r w:rsidR="001268B9">
        <w:rPr>
          <w:b/>
          <w:lang w:val="en-AU"/>
        </w:rPr>
        <w:t xml:space="preserve"> assuming LOS propagation</w:t>
      </w:r>
    </w:p>
    <w:p w:rsidR="00FE5799" w:rsidRPr="00944906" w:rsidRDefault="00FE5799" w:rsidP="00FE5799">
      <w:pPr>
        <w:pStyle w:val="Heading1"/>
        <w:rPr>
          <w:lang w:val="en-AU"/>
        </w:rPr>
      </w:pPr>
      <w:r w:rsidRPr="00944906">
        <w:rPr>
          <w:lang w:val="en-AU"/>
        </w:rPr>
        <w:t>Conclusion</w:t>
      </w:r>
    </w:p>
    <w:p w:rsidR="00F062F2" w:rsidRPr="00944906" w:rsidRDefault="00DF7DD5" w:rsidP="00F062F2">
      <w:pPr>
        <w:pStyle w:val="BodyText"/>
        <w:rPr>
          <w:lang w:val="en-AU"/>
        </w:rPr>
      </w:pPr>
      <w:r w:rsidRPr="00944906">
        <w:rPr>
          <w:lang w:val="en-AU"/>
        </w:rPr>
        <w:t>T</w:t>
      </w:r>
      <w:r w:rsidR="00F062F2" w:rsidRPr="00944906">
        <w:rPr>
          <w:lang w:val="en-AU"/>
        </w:rPr>
        <w:t>he following proposals are made:</w:t>
      </w:r>
    </w:p>
    <w:p w:rsidR="00207FCA" w:rsidRPr="00944906" w:rsidRDefault="00207FCA" w:rsidP="00207FCA">
      <w:pPr>
        <w:pStyle w:val="BodyText"/>
        <w:rPr>
          <w:b/>
          <w:lang w:val="en-AU"/>
        </w:rPr>
      </w:pPr>
      <w:r w:rsidRPr="00944906">
        <w:rPr>
          <w:b/>
          <w:lang w:val="en-AU"/>
        </w:rPr>
        <w:t xml:space="preserve">Proposal </w:t>
      </w:r>
      <w:r>
        <w:rPr>
          <w:b/>
          <w:lang w:val="en-AU"/>
        </w:rPr>
        <w:t>1</w:t>
      </w:r>
      <w:r w:rsidRPr="00944906">
        <w:rPr>
          <w:b/>
          <w:lang w:val="en-AU"/>
        </w:rPr>
        <w:t>: For link level modelling and simple system-level modelling, use TDL-A and CDL-A with the following delay and angle scaling:</w:t>
      </w:r>
    </w:p>
    <w:p w:rsidR="00207FCA" w:rsidRPr="00944906" w:rsidRDefault="00207FCA" w:rsidP="00207FCA">
      <w:pPr>
        <w:pStyle w:val="BodyText"/>
        <w:numPr>
          <w:ilvl w:val="0"/>
          <w:numId w:val="10"/>
        </w:numPr>
        <w:rPr>
          <w:b/>
          <w:lang w:val="en-AU"/>
        </w:rPr>
      </w:pPr>
      <w:r w:rsidRPr="00944906">
        <w:rPr>
          <w:b/>
          <w:lang w:val="en-AU"/>
        </w:rPr>
        <w:t>DS = [</w:t>
      </w:r>
      <w:r>
        <w:rPr>
          <w:b/>
          <w:lang w:val="en-AU"/>
        </w:rPr>
        <w:t>10</w:t>
      </w:r>
      <w:r w:rsidRPr="00944906">
        <w:rPr>
          <w:b/>
          <w:lang w:val="en-AU"/>
        </w:rPr>
        <w:t>0 ns]</w:t>
      </w:r>
    </w:p>
    <w:p w:rsidR="00207FCA" w:rsidRPr="00944906" w:rsidRDefault="00207FCA" w:rsidP="00207FCA">
      <w:pPr>
        <w:pStyle w:val="BodyText"/>
        <w:numPr>
          <w:ilvl w:val="0"/>
          <w:numId w:val="10"/>
        </w:numPr>
        <w:rPr>
          <w:b/>
          <w:lang w:val="en-AU"/>
        </w:rPr>
      </w:pPr>
      <w:r w:rsidRPr="00944906">
        <w:rPr>
          <w:b/>
          <w:lang w:val="en-AU"/>
        </w:rPr>
        <w:t>ASD = [1°]</w:t>
      </w:r>
    </w:p>
    <w:p w:rsidR="00207FCA" w:rsidRPr="00944906" w:rsidRDefault="00207FCA" w:rsidP="00207FCA">
      <w:pPr>
        <w:pStyle w:val="BodyText"/>
        <w:numPr>
          <w:ilvl w:val="0"/>
          <w:numId w:val="10"/>
        </w:numPr>
        <w:rPr>
          <w:b/>
          <w:lang w:val="en-AU"/>
        </w:rPr>
      </w:pPr>
      <w:r w:rsidRPr="00944906">
        <w:rPr>
          <w:b/>
          <w:lang w:val="en-AU"/>
        </w:rPr>
        <w:t>ASA = [30°]</w:t>
      </w:r>
    </w:p>
    <w:p w:rsidR="00207FCA" w:rsidRPr="00944906" w:rsidRDefault="00207FCA" w:rsidP="00207FCA">
      <w:pPr>
        <w:pStyle w:val="BodyText"/>
        <w:numPr>
          <w:ilvl w:val="0"/>
          <w:numId w:val="10"/>
        </w:numPr>
        <w:rPr>
          <w:b/>
          <w:lang w:val="en-AU"/>
        </w:rPr>
      </w:pPr>
      <w:r w:rsidRPr="00944906">
        <w:rPr>
          <w:b/>
          <w:lang w:val="en-AU"/>
        </w:rPr>
        <w:lastRenderedPageBreak/>
        <w:t>ZSD = [0.1°]</w:t>
      </w:r>
    </w:p>
    <w:p w:rsidR="00207FCA" w:rsidRPr="00944906" w:rsidRDefault="00207FCA" w:rsidP="00207FCA">
      <w:pPr>
        <w:pStyle w:val="BodyText"/>
        <w:numPr>
          <w:ilvl w:val="0"/>
          <w:numId w:val="10"/>
        </w:numPr>
        <w:rPr>
          <w:b/>
          <w:lang w:val="en-AU"/>
        </w:rPr>
      </w:pPr>
      <w:r w:rsidRPr="00944906">
        <w:rPr>
          <w:b/>
          <w:lang w:val="en-AU"/>
        </w:rPr>
        <w:t>ZSA = [1°]</w:t>
      </w:r>
    </w:p>
    <w:p w:rsidR="00207FCA" w:rsidRPr="00944906" w:rsidRDefault="00207FCA" w:rsidP="00207FCA">
      <w:pPr>
        <w:pStyle w:val="BodyText"/>
        <w:numPr>
          <w:ilvl w:val="0"/>
          <w:numId w:val="10"/>
        </w:numPr>
        <w:rPr>
          <w:b/>
          <w:lang w:val="en-AU"/>
        </w:rPr>
      </w:pPr>
      <w:r w:rsidRPr="00944906">
        <w:rPr>
          <w:b/>
          <w:lang w:val="en-AU"/>
        </w:rPr>
        <w:t xml:space="preserve">The absolute propagation delay </w:t>
      </w:r>
      <m:oMath>
        <m:sSub>
          <m:sSubPr>
            <m:ctrlPr>
              <w:rPr>
                <w:rFonts w:ascii="Cambria Math" w:hAnsi="Cambria Math"/>
                <w:b/>
                <w:i/>
                <w:lang w:val="en-AU"/>
              </w:rPr>
            </m:ctrlPr>
          </m:sSubPr>
          <m:e>
            <m:r>
              <m:rPr>
                <m:sty m:val="bi"/>
              </m:rPr>
              <w:rPr>
                <w:rFonts w:ascii="Cambria Math" w:hAnsi="Cambria Math"/>
                <w:lang w:val="en-AU"/>
              </w:rPr>
              <m:t>τ</m:t>
            </m:r>
          </m:e>
          <m:sub>
            <m:r>
              <m:rPr>
                <m:sty m:val="bi"/>
              </m:rPr>
              <w:rPr>
                <w:rFonts w:ascii="Cambria Math" w:hAnsi="Cambria Math"/>
                <w:lang w:val="en-AU"/>
              </w:rPr>
              <m:t>0</m:t>
            </m:r>
          </m:sub>
        </m:sSub>
        <m:r>
          <m:rPr>
            <m:sty m:val="bi"/>
          </m:rPr>
          <w:rPr>
            <w:rFonts w:ascii="Cambria Math" w:hAnsi="Cambria Math"/>
            <w:lang w:val="en-AU"/>
          </w:rPr>
          <m:t>=</m:t>
        </m:r>
        <m:sSub>
          <m:sSubPr>
            <m:ctrlPr>
              <w:rPr>
                <w:rFonts w:ascii="Cambria Math" w:hAnsi="Cambria Math"/>
                <w:b/>
                <w:i/>
                <w:lang w:val="en-AU"/>
              </w:rPr>
            </m:ctrlPr>
          </m:sSubPr>
          <m:e>
            <m:r>
              <m:rPr>
                <m:sty m:val="bi"/>
              </m:rPr>
              <w:rPr>
                <w:rFonts w:ascii="Cambria Math" w:hAnsi="Cambria Math"/>
                <w:lang w:val="en-AU"/>
              </w:rPr>
              <m:t>c</m:t>
            </m:r>
          </m:e>
          <m:sub>
            <m:r>
              <m:rPr>
                <m:sty m:val="bi"/>
              </m:rPr>
              <w:rPr>
                <w:rFonts w:ascii="Cambria Math" w:hAnsi="Cambria Math"/>
                <w:lang w:val="en-AU"/>
              </w:rPr>
              <m:t>0</m:t>
            </m:r>
          </m:sub>
        </m:sSub>
        <m:r>
          <m:rPr>
            <m:sty m:val="bi"/>
          </m:rPr>
          <w:rPr>
            <w:rFonts w:ascii="Cambria Math" w:hAnsi="Cambria Math"/>
            <w:lang w:val="en-AU"/>
          </w:rPr>
          <m:t>d</m:t>
        </m:r>
      </m:oMath>
      <w:r w:rsidRPr="00944906">
        <w:rPr>
          <w:b/>
          <w:lang w:val="en-AU"/>
        </w:rPr>
        <w:t xml:space="preserve"> is added to all tap delays</w:t>
      </w:r>
    </w:p>
    <w:p w:rsidR="008372A0" w:rsidRPr="00944906" w:rsidRDefault="00207FCA" w:rsidP="00207FCA">
      <w:pPr>
        <w:pStyle w:val="BodyText"/>
        <w:rPr>
          <w:lang w:val="en-AU"/>
        </w:rPr>
      </w:pPr>
      <w:r w:rsidRPr="00944906">
        <w:rPr>
          <w:b/>
          <w:lang w:val="en-AU"/>
        </w:rPr>
        <w:t xml:space="preserve">For system-level simulations, </w:t>
      </w:r>
      <w:r>
        <w:rPr>
          <w:b/>
          <w:lang w:val="en-AU"/>
        </w:rPr>
        <w:t xml:space="preserve">the </w:t>
      </w:r>
      <w:r w:rsidRPr="00944906">
        <w:rPr>
          <w:b/>
          <w:lang w:val="en-AU"/>
        </w:rPr>
        <w:t>mean AOD</w:t>
      </w:r>
      <w:proofErr w:type="gramStart"/>
      <w:r w:rsidRPr="00944906">
        <w:rPr>
          <w:b/>
          <w:lang w:val="en-AU"/>
        </w:rPr>
        <w:t>,ZOD,AOA,ZOD</w:t>
      </w:r>
      <w:proofErr w:type="gramEnd"/>
      <w:r w:rsidRPr="00944906">
        <w:rPr>
          <w:b/>
          <w:lang w:val="en-AU"/>
        </w:rPr>
        <w:t xml:space="preserve"> </w:t>
      </w:r>
      <w:r>
        <w:rPr>
          <w:b/>
          <w:lang w:val="en-AU"/>
        </w:rPr>
        <w:t xml:space="preserve">for each link </w:t>
      </w:r>
      <w:r w:rsidRPr="00944906">
        <w:rPr>
          <w:b/>
          <w:lang w:val="en-AU"/>
        </w:rPr>
        <w:t>are determined from the geometry</w:t>
      </w:r>
      <w:r>
        <w:rPr>
          <w:b/>
          <w:lang w:val="en-AU"/>
        </w:rPr>
        <w:t xml:space="preserve"> assuming LOS propagation</w:t>
      </w:r>
    </w:p>
    <w:p w:rsidR="008372A0" w:rsidRPr="00944906" w:rsidRDefault="008372A0" w:rsidP="008372A0">
      <w:pPr>
        <w:pStyle w:val="Heading1"/>
        <w:rPr>
          <w:lang w:val="en-AU"/>
        </w:rPr>
      </w:pPr>
      <w:r w:rsidRPr="00944906">
        <w:rPr>
          <w:lang w:val="en-AU"/>
        </w:rPr>
        <w:t>References</w:t>
      </w:r>
    </w:p>
    <w:p w:rsidR="008372A0" w:rsidRDefault="00240524" w:rsidP="008372A0">
      <w:pPr>
        <w:numPr>
          <w:ilvl w:val="0"/>
          <w:numId w:val="2"/>
        </w:numPr>
        <w:jc w:val="both"/>
        <w:rPr>
          <w:szCs w:val="20"/>
          <w:lang w:val="en-AU"/>
        </w:rPr>
      </w:pPr>
      <w:bookmarkStart w:id="3" w:name="_Ref450935028"/>
      <w:bookmarkStart w:id="4" w:name="_Ref454287040"/>
      <w:r w:rsidRPr="00944906">
        <w:rPr>
          <w:szCs w:val="20"/>
          <w:lang w:val="en-AU"/>
        </w:rPr>
        <w:t>R1-16</w:t>
      </w:r>
      <w:r>
        <w:rPr>
          <w:szCs w:val="20"/>
          <w:lang w:val="en-AU"/>
        </w:rPr>
        <w:t>6559</w:t>
      </w:r>
      <w:r w:rsidRPr="00944906">
        <w:rPr>
          <w:szCs w:val="20"/>
          <w:lang w:val="en-AU"/>
        </w:rPr>
        <w:t>, “</w:t>
      </w:r>
      <w:r>
        <w:rPr>
          <w:szCs w:val="20"/>
          <w:lang w:val="en-AU"/>
        </w:rPr>
        <w:t>Measurements of</w:t>
      </w:r>
      <w:r w:rsidRPr="00546E5F">
        <w:rPr>
          <w:szCs w:val="20"/>
          <w:lang w:val="en-AU"/>
        </w:rPr>
        <w:t xml:space="preserve"> extreme rural scenarios</w:t>
      </w:r>
      <w:r w:rsidRPr="00944906">
        <w:rPr>
          <w:szCs w:val="20"/>
          <w:lang w:val="en-AU"/>
        </w:rPr>
        <w:t>”, Telstra</w:t>
      </w:r>
      <w:r>
        <w:rPr>
          <w:szCs w:val="20"/>
          <w:lang w:val="en-AU"/>
        </w:rPr>
        <w:t>, Ericsson</w:t>
      </w:r>
      <w:r w:rsidRPr="00944906">
        <w:rPr>
          <w:szCs w:val="20"/>
          <w:lang w:val="en-AU"/>
        </w:rPr>
        <w:t xml:space="preserve">, </w:t>
      </w:r>
      <w:proofErr w:type="spellStart"/>
      <w:r w:rsidRPr="00944906">
        <w:rPr>
          <w:szCs w:val="20"/>
          <w:lang w:val="en-AU"/>
        </w:rPr>
        <w:t>Göteborg</w:t>
      </w:r>
      <w:proofErr w:type="spellEnd"/>
      <w:r w:rsidRPr="00944906">
        <w:rPr>
          <w:szCs w:val="20"/>
          <w:lang w:val="en-AU"/>
        </w:rPr>
        <w:t>, Sweden, 22-26 Aug 2016</w:t>
      </w:r>
      <w:bookmarkEnd w:id="3"/>
      <w:r w:rsidRPr="00944906">
        <w:rPr>
          <w:szCs w:val="20"/>
          <w:lang w:val="en-AU"/>
        </w:rPr>
        <w:t>.</w:t>
      </w:r>
      <w:bookmarkEnd w:id="4"/>
    </w:p>
    <w:p w:rsidR="00240524" w:rsidRDefault="00240524" w:rsidP="008372A0">
      <w:pPr>
        <w:numPr>
          <w:ilvl w:val="0"/>
          <w:numId w:val="2"/>
        </w:numPr>
        <w:jc w:val="both"/>
        <w:rPr>
          <w:szCs w:val="20"/>
          <w:lang w:val="en-AU"/>
        </w:rPr>
      </w:pPr>
      <w:bookmarkStart w:id="5" w:name="_Ref458694929"/>
      <w:r>
        <w:rPr>
          <w:szCs w:val="20"/>
          <w:lang w:val="en-AU"/>
        </w:rPr>
        <w:t>R1-167452, “</w:t>
      </w:r>
      <w:r>
        <w:rPr>
          <w:lang w:val="en-AU"/>
        </w:rPr>
        <w:t xml:space="preserve">Path loss </w:t>
      </w:r>
      <w:r w:rsidRPr="00CA3FA5">
        <w:rPr>
          <w:lang w:val="en-AU"/>
        </w:rPr>
        <w:t>model for extreme rural</w:t>
      </w:r>
      <w:r>
        <w:rPr>
          <w:lang w:val="en-AU"/>
        </w:rPr>
        <w:t xml:space="preserve"> scenario</w:t>
      </w:r>
      <w:r>
        <w:rPr>
          <w:szCs w:val="20"/>
          <w:lang w:val="en-AU"/>
        </w:rPr>
        <w:t xml:space="preserve">”, Ericsson, Telstra, </w:t>
      </w:r>
      <w:proofErr w:type="spellStart"/>
      <w:r w:rsidRPr="00944906">
        <w:rPr>
          <w:szCs w:val="20"/>
          <w:lang w:val="en-AU"/>
        </w:rPr>
        <w:t>Göteborg</w:t>
      </w:r>
      <w:proofErr w:type="spellEnd"/>
      <w:r w:rsidRPr="00944906">
        <w:rPr>
          <w:szCs w:val="20"/>
          <w:lang w:val="en-AU"/>
        </w:rPr>
        <w:t>, Sweden, 22-26 Aug 2016.</w:t>
      </w:r>
      <w:bookmarkEnd w:id="5"/>
    </w:p>
    <w:p w:rsidR="00240524" w:rsidRPr="0037761D" w:rsidRDefault="00240524" w:rsidP="00240524">
      <w:pPr>
        <w:numPr>
          <w:ilvl w:val="0"/>
          <w:numId w:val="2"/>
        </w:numPr>
        <w:jc w:val="both"/>
        <w:rPr>
          <w:szCs w:val="20"/>
          <w:lang w:val="en-AU"/>
        </w:rPr>
      </w:pPr>
      <w:bookmarkStart w:id="6" w:name="_Ref458695108"/>
      <w:r>
        <w:t>Report ITU-R M.2135-1 “Guidelines for evaluation of radio interface technologies for IMT-Advanced” (12/2009).</w:t>
      </w:r>
      <w:bookmarkEnd w:id="6"/>
    </w:p>
    <w:p w:rsidR="0037761D" w:rsidRPr="00240524" w:rsidRDefault="0037761D" w:rsidP="0037761D">
      <w:pPr>
        <w:numPr>
          <w:ilvl w:val="0"/>
          <w:numId w:val="2"/>
        </w:numPr>
        <w:jc w:val="both"/>
        <w:rPr>
          <w:szCs w:val="20"/>
          <w:lang w:val="en-AU"/>
        </w:rPr>
      </w:pPr>
      <w:bookmarkStart w:id="7" w:name="_Ref458695259"/>
      <w:r>
        <w:t>3GPP TR 38.900 “</w:t>
      </w:r>
      <w:r w:rsidRPr="0037761D">
        <w:t>Study on channel model for frequency spectrum above 6 GHz</w:t>
      </w:r>
      <w:r>
        <w:t>”, v14.0.0.</w:t>
      </w:r>
      <w:bookmarkEnd w:id="7"/>
    </w:p>
    <w:p w:rsidR="008372A0" w:rsidRPr="00944906" w:rsidRDefault="008372A0" w:rsidP="008372A0">
      <w:pPr>
        <w:pStyle w:val="BodyText"/>
        <w:rPr>
          <w:lang w:val="en-AU"/>
        </w:rPr>
      </w:pPr>
      <w:bookmarkStart w:id="8" w:name="_GoBack"/>
      <w:bookmarkEnd w:id="8"/>
    </w:p>
    <w:sectPr w:rsidR="008372A0" w:rsidRPr="00944906">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FCA" w:rsidRDefault="00997FCA">
      <w:r>
        <w:separator/>
      </w:r>
    </w:p>
  </w:endnote>
  <w:endnote w:type="continuationSeparator" w:id="0">
    <w:p w:rsidR="00997FCA" w:rsidRDefault="0099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FCA" w:rsidRDefault="00997FCA">
      <w:r>
        <w:separator/>
      </w:r>
    </w:p>
  </w:footnote>
  <w:footnote w:type="continuationSeparator" w:id="0">
    <w:p w:rsidR="00997FCA" w:rsidRDefault="00997F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997FCA"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93046F2"/>
    <w:multiLevelType w:val="hybridMultilevel"/>
    <w:tmpl w:val="E696A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6">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0E5480"/>
    <w:multiLevelType w:val="hybridMultilevel"/>
    <w:tmpl w:val="D21E6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68183FD7"/>
    <w:multiLevelType w:val="hybridMultilevel"/>
    <w:tmpl w:val="91CA71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683F18B9"/>
    <w:multiLevelType w:val="hybridMultilevel"/>
    <w:tmpl w:val="DCC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4"/>
  </w:num>
  <w:num w:numId="3">
    <w:abstractNumId w:val="2"/>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8"/>
  </w:num>
  <w:num w:numId="9">
    <w:abstractNumId w:val="5"/>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2E81"/>
    <w:rsid w:val="00061B93"/>
    <w:rsid w:val="00067D24"/>
    <w:rsid w:val="000C0150"/>
    <w:rsid w:val="000D4803"/>
    <w:rsid w:val="000E06BA"/>
    <w:rsid w:val="000E0F1D"/>
    <w:rsid w:val="001268B9"/>
    <w:rsid w:val="001639B5"/>
    <w:rsid w:val="00165E8B"/>
    <w:rsid w:val="001678D1"/>
    <w:rsid w:val="001D0503"/>
    <w:rsid w:val="00207FCA"/>
    <w:rsid w:val="0022115C"/>
    <w:rsid w:val="00240524"/>
    <w:rsid w:val="0026076E"/>
    <w:rsid w:val="00282060"/>
    <w:rsid w:val="00297704"/>
    <w:rsid w:val="002B5B6F"/>
    <w:rsid w:val="002C1A1F"/>
    <w:rsid w:val="00334092"/>
    <w:rsid w:val="0037761D"/>
    <w:rsid w:val="00391A0B"/>
    <w:rsid w:val="003D5908"/>
    <w:rsid w:val="004823F8"/>
    <w:rsid w:val="004861DC"/>
    <w:rsid w:val="004A3F44"/>
    <w:rsid w:val="004E0AB2"/>
    <w:rsid w:val="005B038C"/>
    <w:rsid w:val="005D2E19"/>
    <w:rsid w:val="005F758E"/>
    <w:rsid w:val="006175B6"/>
    <w:rsid w:val="00635C7B"/>
    <w:rsid w:val="006A286A"/>
    <w:rsid w:val="007B3530"/>
    <w:rsid w:val="007F344B"/>
    <w:rsid w:val="00835DE6"/>
    <w:rsid w:val="008372A0"/>
    <w:rsid w:val="008462A4"/>
    <w:rsid w:val="008667D8"/>
    <w:rsid w:val="00871A1D"/>
    <w:rsid w:val="0087287C"/>
    <w:rsid w:val="00872E9C"/>
    <w:rsid w:val="00944906"/>
    <w:rsid w:val="00947C8B"/>
    <w:rsid w:val="00970C66"/>
    <w:rsid w:val="009960A5"/>
    <w:rsid w:val="00997FCA"/>
    <w:rsid w:val="00A25086"/>
    <w:rsid w:val="00A44477"/>
    <w:rsid w:val="00A4561A"/>
    <w:rsid w:val="00A478F2"/>
    <w:rsid w:val="00A55C73"/>
    <w:rsid w:val="00A71D5E"/>
    <w:rsid w:val="00AA5058"/>
    <w:rsid w:val="00AF0E06"/>
    <w:rsid w:val="00B21130"/>
    <w:rsid w:val="00B368D9"/>
    <w:rsid w:val="00BA14A0"/>
    <w:rsid w:val="00BC5411"/>
    <w:rsid w:val="00C02DC7"/>
    <w:rsid w:val="00C1560A"/>
    <w:rsid w:val="00C82C6E"/>
    <w:rsid w:val="00C854D4"/>
    <w:rsid w:val="00CA3FA5"/>
    <w:rsid w:val="00CA75AD"/>
    <w:rsid w:val="00CC0A87"/>
    <w:rsid w:val="00CD62A9"/>
    <w:rsid w:val="00D539B8"/>
    <w:rsid w:val="00D71C26"/>
    <w:rsid w:val="00DA4DEF"/>
    <w:rsid w:val="00DC5065"/>
    <w:rsid w:val="00DD0C9E"/>
    <w:rsid w:val="00DE6326"/>
    <w:rsid w:val="00DF03D2"/>
    <w:rsid w:val="00DF2DD3"/>
    <w:rsid w:val="00DF7DD5"/>
    <w:rsid w:val="00E56F13"/>
    <w:rsid w:val="00E66190"/>
    <w:rsid w:val="00E747B0"/>
    <w:rsid w:val="00E82089"/>
    <w:rsid w:val="00E87A7B"/>
    <w:rsid w:val="00EE617F"/>
    <w:rsid w:val="00EF36D7"/>
    <w:rsid w:val="00F002CD"/>
    <w:rsid w:val="00F062F2"/>
    <w:rsid w:val="00F307F4"/>
    <w:rsid w:val="00F61907"/>
    <w:rsid w:val="00F64E0F"/>
    <w:rsid w:val="00FC4381"/>
    <w:rsid w:val="00FC5DB3"/>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character" w:styleId="PlaceholderText">
    <w:name w:val="Placeholder Text"/>
    <w:basedOn w:val="DefaultParagraphFont"/>
    <w:uiPriority w:val="99"/>
    <w:semiHidden/>
    <w:rsid w:val="000E06BA"/>
    <w:rPr>
      <w:color w:val="808080"/>
    </w:rPr>
  </w:style>
  <w:style w:type="paragraph" w:styleId="Caption">
    <w:name w:val="caption"/>
    <w:basedOn w:val="Normal"/>
    <w:next w:val="Normal"/>
    <w:uiPriority w:val="35"/>
    <w:unhideWhenUsed/>
    <w:qFormat/>
    <w:rsid w:val="00FC5DB3"/>
    <w:pPr>
      <w:spacing w:after="200"/>
    </w:pPr>
    <w:rPr>
      <w:b/>
      <w:bCs/>
      <w:color w:val="4F81BD" w:themeColor="accent1"/>
      <w:sz w:val="18"/>
      <w:szCs w:val="18"/>
    </w:rPr>
  </w:style>
  <w:style w:type="paragraph" w:styleId="Revision">
    <w:name w:val="Revision"/>
    <w:hidden/>
    <w:uiPriority w:val="99"/>
    <w:semiHidden/>
    <w:rsid w:val="00835DE6"/>
    <w:pPr>
      <w:spacing w:after="0" w:line="240" w:lineRule="auto"/>
    </w:pPr>
    <w:rPr>
      <w:rFonts w:ascii="Times New Roman" w:eastAsia="Times New Roman" w:hAnsi="Times New Roman"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character" w:styleId="PlaceholderText">
    <w:name w:val="Placeholder Text"/>
    <w:basedOn w:val="DefaultParagraphFont"/>
    <w:uiPriority w:val="99"/>
    <w:semiHidden/>
    <w:rsid w:val="000E06BA"/>
    <w:rPr>
      <w:color w:val="808080"/>
    </w:rPr>
  </w:style>
  <w:style w:type="paragraph" w:styleId="Caption">
    <w:name w:val="caption"/>
    <w:basedOn w:val="Normal"/>
    <w:next w:val="Normal"/>
    <w:uiPriority w:val="35"/>
    <w:unhideWhenUsed/>
    <w:qFormat/>
    <w:rsid w:val="00FC5DB3"/>
    <w:pPr>
      <w:spacing w:after="200"/>
    </w:pPr>
    <w:rPr>
      <w:b/>
      <w:bCs/>
      <w:color w:val="4F81BD" w:themeColor="accent1"/>
      <w:sz w:val="18"/>
      <w:szCs w:val="18"/>
    </w:rPr>
  </w:style>
  <w:style w:type="paragraph" w:styleId="Revision">
    <w:name w:val="Revision"/>
    <w:hidden/>
    <w:uiPriority w:val="99"/>
    <w:semiHidden/>
    <w:rsid w:val="00835DE6"/>
    <w:pPr>
      <w:spacing w:after="0" w:line="240" w:lineRule="auto"/>
    </w:pPr>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703840">
      <w:bodyDiv w:val="1"/>
      <w:marLeft w:val="0"/>
      <w:marRight w:val="0"/>
      <w:marTop w:val="0"/>
      <w:marBottom w:val="0"/>
      <w:divBdr>
        <w:top w:val="none" w:sz="0" w:space="0" w:color="auto"/>
        <w:left w:val="none" w:sz="0" w:space="0" w:color="auto"/>
        <w:bottom w:val="none" w:sz="0" w:space="0" w:color="auto"/>
        <w:right w:val="none" w:sz="0" w:space="0" w:color="auto"/>
      </w:divBdr>
      <w:divsChild>
        <w:div w:id="61762670">
          <w:marLeft w:val="0"/>
          <w:marRight w:val="0"/>
          <w:marTop w:val="0"/>
          <w:marBottom w:val="0"/>
          <w:divBdr>
            <w:top w:val="none" w:sz="0" w:space="0" w:color="auto"/>
            <w:left w:val="none" w:sz="0" w:space="0" w:color="auto"/>
            <w:bottom w:val="none" w:sz="0" w:space="0" w:color="auto"/>
            <w:right w:val="none" w:sz="0" w:space="0" w:color="auto"/>
          </w:divBdr>
        </w:div>
        <w:div w:id="1350064231">
          <w:marLeft w:val="0"/>
          <w:marRight w:val="0"/>
          <w:marTop w:val="0"/>
          <w:marBottom w:val="0"/>
          <w:divBdr>
            <w:top w:val="none" w:sz="0" w:space="0" w:color="auto"/>
            <w:left w:val="none" w:sz="0" w:space="0" w:color="auto"/>
            <w:bottom w:val="none" w:sz="0" w:space="0" w:color="auto"/>
            <w:right w:val="none" w:sz="0" w:space="0" w:color="auto"/>
          </w:divBdr>
        </w:div>
      </w:divsChild>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622687964">
      <w:bodyDiv w:val="1"/>
      <w:marLeft w:val="0"/>
      <w:marRight w:val="0"/>
      <w:marTop w:val="0"/>
      <w:marBottom w:val="0"/>
      <w:divBdr>
        <w:top w:val="none" w:sz="0" w:space="0" w:color="auto"/>
        <w:left w:val="none" w:sz="0" w:space="0" w:color="auto"/>
        <w:bottom w:val="none" w:sz="0" w:space="0" w:color="auto"/>
        <w:right w:val="none" w:sz="0" w:space="0" w:color="auto"/>
      </w:divBdr>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558</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2016-08-02T11:19:00Z</dcterms:created>
  <dcterms:modified xsi:type="dcterms:W3CDTF">2016-08-12T14:25:00Z</dcterms:modified>
</cp:coreProperties>
</file>